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   </w:t>
      </w:r>
      <w:r>
        <w:rPr>
          <w:rFonts w:cs="Arial" w:ascii="Bookman Old Style" w:hAnsi="Bookman Old Style"/>
        </w:rPr>
        <w:t>de   de 20 .</w:t>
      </w:r>
    </w:p>
    <w:p>
      <w:pPr>
        <w:pStyle w:val="Normal"/>
        <w:rPr>
          <w:rFonts w:ascii="Bookman Old Style" w:hAnsi="Bookman Old Style" w:cs="Arial"/>
          <w:color w:val="1D1B11"/>
        </w:rPr>
      </w:pPr>
      <w:r>
        <w:rPr>
          <w:rFonts w:cs="Arial" w:ascii="Bookman Old Style" w:hAnsi="Bookman Old Style"/>
          <w:color w:val="1D1B11"/>
        </w:rPr>
        <w:t>Ao Senhor</w:t>
      </w:r>
    </w:p>
    <w:p>
      <w:pPr>
        <w:pStyle w:val="Normal"/>
        <w:rPr/>
      </w:pPr>
      <w:r>
        <w:rPr>
          <w:rFonts w:cs="Arial" w:ascii="Bookman Old Style" w:hAnsi="Bookman Old Style"/>
          <w:b/>
          <w:color w:val="1D1B11"/>
        </w:rPr>
        <w:t xml:space="preserve"> </w:t>
      </w:r>
    </w:p>
    <w:p>
      <w:pPr>
        <w:pStyle w:val="Normal"/>
        <w:rPr>
          <w:rFonts w:ascii="Bookman Old Style" w:hAnsi="Bookman Old Style" w:cs="Arial"/>
          <w:b/>
          <w:b/>
          <w:color w:val="1D1B11"/>
        </w:rPr>
      </w:pPr>
      <w:r>
        <w:rPr>
          <w:rFonts w:cs="Arial" w:ascii="Bookman Old Style" w:hAnsi="Bookman Old Style"/>
          <w:b/>
          <w:color w:val="1D1B11"/>
        </w:rPr>
        <w:t>Secretário Municipal de Saúde</w:t>
      </w:r>
    </w:p>
    <w:p>
      <w:pPr>
        <w:pStyle w:val="Normal"/>
        <w:rPr/>
      </w:pPr>
      <w:r>
        <w:rPr>
          <w:rFonts w:cs="Arial" w:ascii="Bookman Old Style" w:hAnsi="Bookman Old Style"/>
          <w:color w:val="1D1B11"/>
          <w:u w:val="single"/>
        </w:rPr>
        <w:t xml:space="preserve"> </w:t>
      </w:r>
      <w:r>
        <w:rPr>
          <w:rFonts w:cs="Arial" w:ascii="Bookman Old Style" w:hAnsi="Bookman Old Style"/>
          <w:color w:val="1D1B11"/>
          <w:u w:val="single"/>
        </w:rPr>
        <w:t>/PA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 Secretário,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 xml:space="preserve">informo a Vossa Senhoria que tramita nesta Promotoria de Justiça o Procedimento Administrativo SIMP  , o qual tem como objeto o acompanhamento da regularização do procedimento de adoção nos Municípios de </w:t>
      </w:r>
      <w:r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(Portaria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Nesse sentido, solicito a Vossa Senhoria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informe,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</w:rPr>
        <w:t xml:space="preserve"> </w:t>
      </w:r>
      <w:bookmarkStart w:id="0" w:name="_GoBack"/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 xml:space="preserve">Promotora de Justiça de </w:t>
      </w:r>
      <w:bookmarkEnd w:id="0"/>
      <w:r>
        <w:rPr>
          <w:rFonts w:ascii="Bookman Old Style" w:hAnsi="Bookman Old Style"/>
          <w:i/>
        </w:rPr>
        <w:t xml:space="preserve">  </w:t>
      </w:r>
    </w:p>
    <w:p>
      <w:pPr>
        <w:pStyle w:val="Normal"/>
        <w:jc w:val="center"/>
        <w:rPr>
          <w:rFonts w:ascii="Bookman Old Style" w:hAnsi="Bookman Old Style"/>
          <w:i/>
          <w:i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LibreOffice/6.0.7.3$Windows_X86_64 LibreOffice_project/dc89aa7a9eabfd848af146d5086077aeed2ae4a5</Application>
  <Pages>1</Pages>
  <Words>187</Words>
  <Characters>1046</Characters>
  <CharactersWithSpaces>1234</CharactersWithSpaces>
  <Paragraphs>24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2020-08-25T19:02:00Z</dcterms:created>
  <dc:creator>TECNEWS</dc:creator>
  <dc:description/>
  <dc:language>pt-BR</dc:language>
  <cp:lastModifiedBy/>
  <cp:lastPrinted>2020-03-17T09:25:00Z</cp:lastPrinted>
  <dcterms:modified xsi:type="dcterms:W3CDTF">2021-05-24T16:16:28Z</dcterms:modified>
  <cp:revision>7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