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61" w:rsidRPr="00383D61" w:rsidRDefault="00383D61" w:rsidP="00383D61">
      <w:pPr>
        <w:pStyle w:val="Ttulo"/>
        <w:tabs>
          <w:tab w:val="left" w:pos="360"/>
        </w:tabs>
        <w:ind w:right="678"/>
        <w:jc w:val="both"/>
        <w:rPr>
          <w:rFonts w:ascii="Garamond" w:hAnsi="Garamond" w:cs="Tahoma"/>
          <w:b/>
          <w:smallCaps/>
          <w:sz w:val="24"/>
          <w:u w:val="none"/>
          <w:lang w:val="pt-BR"/>
        </w:rPr>
      </w:pPr>
      <w:r w:rsidRPr="00383D61">
        <w:rPr>
          <w:rFonts w:ascii="Garamond" w:hAnsi="Garamond" w:cs="Tahoma"/>
          <w:b/>
          <w:smallCaps/>
          <w:sz w:val="24"/>
          <w:u w:val="none"/>
        </w:rPr>
        <w:t xml:space="preserve">EXCELENTÍSSIMO </w:t>
      </w:r>
      <w:r>
        <w:rPr>
          <w:rFonts w:ascii="Garamond" w:hAnsi="Garamond" w:cs="Tahoma"/>
          <w:b/>
          <w:smallCaps/>
          <w:sz w:val="24"/>
          <w:u w:val="none"/>
          <w:lang w:val="pt-BR"/>
        </w:rPr>
        <w:t xml:space="preserve">JUÍZO </w:t>
      </w:r>
      <w:r w:rsidRPr="00383D61">
        <w:rPr>
          <w:rFonts w:ascii="Garamond" w:hAnsi="Garamond" w:cs="Tahoma"/>
          <w:b/>
          <w:smallCaps/>
          <w:sz w:val="24"/>
          <w:u w:val="none"/>
        </w:rPr>
        <w:t xml:space="preserve">DE DIREITO DA </w:t>
      </w:r>
      <w:r w:rsidR="00114DFA">
        <w:rPr>
          <w:b/>
        </w:rPr>
        <w:t xml:space="preserve">... </w:t>
      </w:r>
      <w:r w:rsidRPr="00383D61">
        <w:rPr>
          <w:rFonts w:ascii="Garamond" w:hAnsi="Garamond" w:cs="Tahoma"/>
          <w:b/>
          <w:smallCaps/>
          <w:sz w:val="24"/>
          <w:u w:val="none"/>
        </w:rPr>
        <w:t xml:space="preserve">VARA </w:t>
      </w:r>
      <w:r>
        <w:rPr>
          <w:rFonts w:ascii="Garamond" w:hAnsi="Garamond" w:cs="Tahoma"/>
          <w:b/>
          <w:smallCaps/>
          <w:sz w:val="24"/>
          <w:u w:val="none"/>
          <w:lang w:val="pt-BR"/>
        </w:rPr>
        <w:t xml:space="preserve">CÍVEL E EMPRESARIAL </w:t>
      </w:r>
      <w:r w:rsidRPr="00383D61">
        <w:rPr>
          <w:rFonts w:ascii="Garamond" w:hAnsi="Garamond" w:cs="Tahoma"/>
          <w:b/>
          <w:smallCaps/>
          <w:sz w:val="24"/>
          <w:u w:val="none"/>
          <w:lang w:val="pt-BR"/>
        </w:rPr>
        <w:t>DA COMARCA DE BELÉM/PA</w:t>
      </w:r>
    </w:p>
    <w:p w:rsidR="00383D61" w:rsidRPr="00383D61" w:rsidRDefault="00383D61" w:rsidP="00383D61">
      <w:pPr>
        <w:pStyle w:val="Ttulo"/>
        <w:tabs>
          <w:tab w:val="left" w:pos="360"/>
        </w:tabs>
        <w:ind w:right="678"/>
        <w:jc w:val="both"/>
        <w:rPr>
          <w:rFonts w:ascii="Garamond" w:hAnsi="Garamond" w:cs="Tahoma"/>
          <w:b/>
          <w:smallCaps/>
          <w:sz w:val="24"/>
          <w:u w:val="none"/>
        </w:rPr>
      </w:pPr>
    </w:p>
    <w:p w:rsidR="00383D61" w:rsidRPr="00383D61" w:rsidRDefault="00383D61" w:rsidP="00383D61">
      <w:pPr>
        <w:pStyle w:val="Ttulo"/>
        <w:tabs>
          <w:tab w:val="left" w:pos="360"/>
        </w:tabs>
        <w:ind w:right="678"/>
        <w:jc w:val="both"/>
        <w:rPr>
          <w:rFonts w:ascii="Garamond" w:hAnsi="Garamond" w:cs="Tahoma"/>
          <w:b/>
          <w:smallCaps/>
          <w:sz w:val="24"/>
          <w:u w:val="none"/>
          <w:lang w:val="pt-BR"/>
        </w:rPr>
      </w:pPr>
      <w:r w:rsidRPr="00383D61">
        <w:rPr>
          <w:rFonts w:ascii="Garamond" w:hAnsi="Garamond" w:cs="Tahoma"/>
          <w:b/>
          <w:smallCaps/>
          <w:sz w:val="24"/>
          <w:u w:val="none"/>
        </w:rPr>
        <w:t xml:space="preserve">PROCESSO N.º </w:t>
      </w:r>
      <w:r w:rsidR="00D55157">
        <w:rPr>
          <w:b/>
        </w:rPr>
        <w:t>...</w:t>
      </w:r>
    </w:p>
    <w:p w:rsidR="00383D61" w:rsidRPr="00383D61" w:rsidRDefault="00383D61" w:rsidP="00383D61">
      <w:pPr>
        <w:pStyle w:val="Ttulo"/>
        <w:tabs>
          <w:tab w:val="left" w:pos="360"/>
        </w:tabs>
        <w:ind w:right="678"/>
        <w:jc w:val="both"/>
        <w:rPr>
          <w:rFonts w:ascii="Garamond" w:hAnsi="Garamond" w:cs="Tahoma"/>
          <w:b/>
          <w:smallCaps/>
          <w:sz w:val="24"/>
          <w:u w:val="none"/>
          <w:lang w:val="pt-BR"/>
        </w:rPr>
      </w:pPr>
      <w:r w:rsidRPr="00383D61">
        <w:rPr>
          <w:rFonts w:ascii="Garamond" w:hAnsi="Garamond" w:cs="Tahoma"/>
          <w:b/>
          <w:smallCaps/>
          <w:sz w:val="24"/>
          <w:u w:val="none"/>
        </w:rPr>
        <w:t xml:space="preserve">AUTOS: </w:t>
      </w:r>
      <w:r>
        <w:rPr>
          <w:rFonts w:ascii="Garamond" w:hAnsi="Garamond" w:cs="Tahoma"/>
          <w:b/>
          <w:smallCaps/>
          <w:sz w:val="24"/>
          <w:u w:val="none"/>
          <w:lang w:val="pt-BR"/>
        </w:rPr>
        <w:t xml:space="preserve">AÇÃO DE </w:t>
      </w:r>
      <w:r w:rsidRPr="00383D61">
        <w:rPr>
          <w:rFonts w:ascii="Garamond" w:hAnsi="Garamond" w:cs="Tahoma"/>
          <w:b/>
          <w:smallCaps/>
          <w:sz w:val="24"/>
          <w:u w:val="none"/>
        </w:rPr>
        <w:t>TRANSFERÊNCIA DE SEPULTURA</w:t>
      </w:r>
    </w:p>
    <w:p w:rsidR="00383D61" w:rsidRPr="00383D61" w:rsidRDefault="00383D61" w:rsidP="00383D61">
      <w:pPr>
        <w:pStyle w:val="Ttulo"/>
        <w:tabs>
          <w:tab w:val="left" w:pos="360"/>
        </w:tabs>
        <w:ind w:right="678"/>
        <w:jc w:val="both"/>
        <w:rPr>
          <w:rFonts w:ascii="Garamond" w:hAnsi="Garamond" w:cs="Tahoma"/>
          <w:b/>
          <w:smallCaps/>
          <w:sz w:val="24"/>
          <w:u w:val="none"/>
          <w:lang w:val="pt-BR"/>
        </w:rPr>
      </w:pPr>
      <w:r w:rsidRPr="00383D61">
        <w:rPr>
          <w:rFonts w:ascii="Garamond" w:hAnsi="Garamond" w:cs="Tahoma"/>
          <w:b/>
          <w:smallCaps/>
          <w:sz w:val="24"/>
          <w:u w:val="none"/>
          <w:lang w:val="pt-BR"/>
        </w:rPr>
        <w:t>AUTORES</w:t>
      </w:r>
      <w:r w:rsidRPr="00383D61">
        <w:rPr>
          <w:rFonts w:ascii="Garamond" w:hAnsi="Garamond" w:cs="Tahoma"/>
          <w:b/>
          <w:smallCaps/>
          <w:sz w:val="24"/>
          <w:u w:val="none"/>
        </w:rPr>
        <w:t xml:space="preserve">: </w:t>
      </w:r>
      <w:r w:rsidR="00D55157">
        <w:rPr>
          <w:b/>
        </w:rPr>
        <w:t>...</w:t>
      </w:r>
    </w:p>
    <w:p w:rsidR="00383D61" w:rsidRDefault="00383D61" w:rsidP="00383D61">
      <w:pPr>
        <w:pStyle w:val="Ttulo"/>
        <w:tabs>
          <w:tab w:val="left" w:pos="360"/>
        </w:tabs>
        <w:ind w:right="678"/>
        <w:jc w:val="both"/>
        <w:rPr>
          <w:b/>
          <w:lang w:val="pt-BR"/>
        </w:rPr>
      </w:pPr>
      <w:r w:rsidRPr="00383D61">
        <w:rPr>
          <w:rFonts w:ascii="Garamond" w:hAnsi="Garamond" w:cs="Tahoma"/>
          <w:b/>
          <w:smallCaps/>
          <w:sz w:val="24"/>
          <w:u w:val="none"/>
          <w:lang w:val="pt-BR"/>
        </w:rPr>
        <w:t>RÉU</w:t>
      </w:r>
      <w:r>
        <w:rPr>
          <w:rFonts w:ascii="Garamond" w:hAnsi="Garamond" w:cs="Tahoma"/>
          <w:b/>
          <w:smallCaps/>
          <w:sz w:val="24"/>
          <w:u w:val="none"/>
          <w:lang w:val="pt-BR"/>
        </w:rPr>
        <w:t xml:space="preserve">S: MUNICÍPIO </w:t>
      </w:r>
      <w:proofErr w:type="gramStart"/>
      <w:r>
        <w:rPr>
          <w:rFonts w:ascii="Garamond" w:hAnsi="Garamond" w:cs="Tahoma"/>
          <w:b/>
          <w:smallCaps/>
          <w:sz w:val="24"/>
          <w:u w:val="none"/>
          <w:lang w:val="pt-BR"/>
        </w:rPr>
        <w:t xml:space="preserve">DE </w:t>
      </w:r>
      <w:r w:rsidR="001655E6">
        <w:rPr>
          <w:b/>
        </w:rPr>
        <w:t>...</w:t>
      </w:r>
      <w:proofErr w:type="gramEnd"/>
      <w:r w:rsidR="001655E6">
        <w:rPr>
          <w:b/>
        </w:rPr>
        <w:t xml:space="preserve"> </w:t>
      </w:r>
      <w:bookmarkStart w:id="0" w:name="_GoBack"/>
      <w:bookmarkEnd w:id="0"/>
      <w:r>
        <w:rPr>
          <w:rFonts w:ascii="Garamond" w:hAnsi="Garamond" w:cs="Tahoma"/>
          <w:b/>
          <w:smallCaps/>
          <w:sz w:val="24"/>
          <w:u w:val="none"/>
          <w:lang w:val="pt-BR"/>
        </w:rPr>
        <w:t xml:space="preserve">E ESPÓLIO/HERDEIROS </w:t>
      </w:r>
      <w:proofErr w:type="gramStart"/>
      <w:r>
        <w:rPr>
          <w:rFonts w:ascii="Garamond" w:hAnsi="Garamond" w:cs="Tahoma"/>
          <w:b/>
          <w:smallCaps/>
          <w:sz w:val="24"/>
          <w:u w:val="none"/>
          <w:lang w:val="pt-BR"/>
        </w:rPr>
        <w:t xml:space="preserve">DE </w:t>
      </w:r>
      <w:r w:rsidR="00D55157">
        <w:rPr>
          <w:b/>
        </w:rPr>
        <w:t>...</w:t>
      </w:r>
      <w:proofErr w:type="gramEnd"/>
    </w:p>
    <w:p w:rsidR="00D55157" w:rsidRPr="00D55157" w:rsidRDefault="00D55157" w:rsidP="00383D61">
      <w:pPr>
        <w:pStyle w:val="Ttulo"/>
        <w:tabs>
          <w:tab w:val="left" w:pos="360"/>
        </w:tabs>
        <w:ind w:right="678"/>
        <w:jc w:val="both"/>
        <w:rPr>
          <w:rFonts w:ascii="Garamond" w:hAnsi="Garamond" w:cs="Tahoma"/>
          <w:b/>
          <w:smallCaps/>
          <w:sz w:val="24"/>
          <w:u w:val="none"/>
          <w:lang w:val="pt-BR"/>
        </w:rPr>
      </w:pPr>
    </w:p>
    <w:p w:rsidR="00383D61" w:rsidRPr="00383D61" w:rsidRDefault="00383D61" w:rsidP="00383D61">
      <w:pPr>
        <w:pStyle w:val="Ttulo"/>
        <w:tabs>
          <w:tab w:val="left" w:pos="360"/>
        </w:tabs>
        <w:ind w:right="678"/>
        <w:jc w:val="both"/>
        <w:rPr>
          <w:rFonts w:ascii="Garamond" w:hAnsi="Garamond" w:cs="Tahoma"/>
          <w:b/>
          <w:smallCaps/>
          <w:sz w:val="24"/>
          <w:u w:val="none"/>
        </w:rPr>
      </w:pPr>
    </w:p>
    <w:p w:rsidR="008E4C37" w:rsidRDefault="00383D61" w:rsidP="00EA3D43">
      <w:pPr>
        <w:pStyle w:val="01TextoRT"/>
      </w:pPr>
      <w:r w:rsidRPr="00383D61">
        <w:t xml:space="preserve">Trata-se de </w:t>
      </w:r>
      <w:r w:rsidRPr="00383D61">
        <w:rPr>
          <w:b/>
        </w:rPr>
        <w:t>AÇÃO DE</w:t>
      </w:r>
      <w:r w:rsidRPr="00383D61">
        <w:t xml:space="preserve"> </w:t>
      </w:r>
      <w:r w:rsidRPr="00383D61">
        <w:rPr>
          <w:b/>
        </w:rPr>
        <w:t xml:space="preserve">OBRIGAÇÃO DE FAZER CUMULADA COM PEDIDO DE TUTELA ANTECIPADA, </w:t>
      </w:r>
      <w:r>
        <w:t xml:space="preserve">ajuizada </w:t>
      </w:r>
      <w:proofErr w:type="gramStart"/>
      <w:r>
        <w:t xml:space="preserve">por </w:t>
      </w:r>
      <w:r w:rsidR="00D55157">
        <w:rPr>
          <w:b/>
        </w:rPr>
        <w:t>...</w:t>
      </w:r>
      <w:proofErr w:type="gramEnd"/>
      <w:r w:rsidRPr="00383D61">
        <w:t xml:space="preserve">, já qualificados nos autos, com </w:t>
      </w:r>
      <w:r w:rsidR="008E4C37">
        <w:t xml:space="preserve">fundamento no Código de Posturas do Município de Belém (Lei 7.055/77). </w:t>
      </w:r>
    </w:p>
    <w:p w:rsidR="00383D61" w:rsidRPr="00383D61" w:rsidRDefault="008E4C37" w:rsidP="00EA3D43">
      <w:pPr>
        <w:pStyle w:val="01TextoRT"/>
      </w:pPr>
      <w:r>
        <w:t xml:space="preserve">Na petição inicial, os autores narram que são filhos </w:t>
      </w:r>
      <w:proofErr w:type="gramStart"/>
      <w:r>
        <w:t xml:space="preserve">de </w:t>
      </w:r>
      <w:r w:rsidR="00D55157">
        <w:rPr>
          <w:b/>
        </w:rPr>
        <w:t>...</w:t>
      </w:r>
      <w:proofErr w:type="gramEnd"/>
      <w:r>
        <w:t xml:space="preserve">, falecida em </w:t>
      </w:r>
      <w:r w:rsidR="00D55157">
        <w:rPr>
          <w:b/>
        </w:rPr>
        <w:t>...</w:t>
      </w:r>
      <w:r>
        <w:t xml:space="preserve">, conforme certidão de óbito de fls. </w:t>
      </w:r>
      <w:r w:rsidR="00D55157">
        <w:rPr>
          <w:b/>
        </w:rPr>
        <w:t>...</w:t>
      </w:r>
      <w:r>
        <w:t>.</w:t>
      </w:r>
      <w:r w:rsidR="00EA3D43">
        <w:t xml:space="preserve"> Afirmam </w:t>
      </w:r>
      <w:proofErr w:type="gramStart"/>
      <w:r w:rsidR="00EA3D43">
        <w:t xml:space="preserve">que </w:t>
      </w:r>
      <w:r w:rsidR="00D55157">
        <w:rPr>
          <w:b/>
        </w:rPr>
        <w:t>...</w:t>
      </w:r>
      <w:proofErr w:type="gramEnd"/>
      <w:r w:rsidR="00D55157">
        <w:rPr>
          <w:b/>
        </w:rPr>
        <w:t xml:space="preserve"> </w:t>
      </w:r>
      <w:proofErr w:type="gramStart"/>
      <w:r w:rsidR="00EA3D43">
        <w:t>era</w:t>
      </w:r>
      <w:proofErr w:type="gramEnd"/>
      <w:r w:rsidR="00EA3D43">
        <w:t xml:space="preserve"> concessionária titular da sepultura</w:t>
      </w:r>
      <w:r w:rsidR="00383D61" w:rsidRPr="00383D61">
        <w:t xml:space="preserve"> nº </w:t>
      </w:r>
      <w:r w:rsidR="00D55157">
        <w:rPr>
          <w:b/>
        </w:rPr>
        <w:t>...</w:t>
      </w:r>
      <w:r w:rsidR="00383D61" w:rsidRPr="00383D61">
        <w:t xml:space="preserve">, no Cemitério </w:t>
      </w:r>
      <w:r w:rsidR="00D55157">
        <w:rPr>
          <w:b/>
        </w:rPr>
        <w:t>...</w:t>
      </w:r>
      <w:r w:rsidR="00383D61" w:rsidRPr="00383D61">
        <w:t xml:space="preserve">, no bairro do </w:t>
      </w:r>
      <w:r w:rsidR="00D55157">
        <w:rPr>
          <w:b/>
        </w:rPr>
        <w:t>...</w:t>
      </w:r>
      <w:r w:rsidR="00383D61" w:rsidRPr="00383D61">
        <w:t>, Belém/PA.</w:t>
      </w:r>
      <w:r w:rsidR="00E874E8">
        <w:t xml:space="preserve"> Afirmam ainda </w:t>
      </w:r>
      <w:proofErr w:type="gramStart"/>
      <w:r w:rsidR="00E874E8">
        <w:t xml:space="preserve">que </w:t>
      </w:r>
      <w:r w:rsidR="00D55157">
        <w:rPr>
          <w:b/>
        </w:rPr>
        <w:t>...</w:t>
      </w:r>
      <w:proofErr w:type="gramEnd"/>
      <w:r w:rsidR="00E874E8">
        <w:t xml:space="preserve"> foram sepultados no referido jazigo.    </w:t>
      </w:r>
    </w:p>
    <w:p w:rsidR="004B5D21" w:rsidRDefault="00C17CF8" w:rsidP="00EA3D43">
      <w:pPr>
        <w:pStyle w:val="01TextoRT"/>
      </w:pPr>
      <w:r>
        <w:t xml:space="preserve">Adiante, </w:t>
      </w:r>
      <w:r w:rsidR="00383D61" w:rsidRPr="00383D61">
        <w:t xml:space="preserve">os autores </w:t>
      </w:r>
      <w:r>
        <w:t>alegam que obtiveram, mediante alvará j</w:t>
      </w:r>
      <w:r w:rsidR="00383D61" w:rsidRPr="00383D61">
        <w:t>udicial</w:t>
      </w:r>
      <w:r>
        <w:t xml:space="preserve"> datado de 1992</w:t>
      </w:r>
      <w:r w:rsidR="00383D61" w:rsidRPr="00383D61">
        <w:t xml:space="preserve">, </w:t>
      </w:r>
      <w:r>
        <w:t xml:space="preserve">a transferência da concessão do jazigo. Contudo, a prefeitura, </w:t>
      </w:r>
      <w:r w:rsidR="00383D61" w:rsidRPr="00383D61">
        <w:t>por meio da Secretaria Municipal de Urbanismo</w:t>
      </w:r>
      <w:r>
        <w:t xml:space="preserve"> – SEURB,</w:t>
      </w:r>
      <w:r w:rsidR="00383D61" w:rsidRPr="00383D61">
        <w:t xml:space="preserve"> não cumpriu a determinação</w:t>
      </w:r>
      <w:r>
        <w:t xml:space="preserve">, sob alegação de </w:t>
      </w:r>
      <w:r w:rsidR="00383D61" w:rsidRPr="00383D61">
        <w:t xml:space="preserve">que o prazo de validade do </w:t>
      </w:r>
      <w:r>
        <w:t xml:space="preserve">alvará teria expirado após </w:t>
      </w:r>
      <w:r w:rsidR="00383D61" w:rsidRPr="00383D61">
        <w:t>5 (cinco) anos</w:t>
      </w:r>
      <w:r w:rsidR="004B5D21">
        <w:t>., não tendo sido renovado pelos sucessores do concessionário o pedido de transmissão da cessão de uso do s</w:t>
      </w:r>
      <w:r w:rsidR="00383D61" w:rsidRPr="00383D61">
        <w:t>olo.</w:t>
      </w:r>
    </w:p>
    <w:p w:rsidR="004B5D21" w:rsidRDefault="004B5D21" w:rsidP="00EA3D43">
      <w:pPr>
        <w:pStyle w:val="01TextoRT"/>
      </w:pPr>
      <w:r>
        <w:t xml:space="preserve">De maneira complementar, ressaltam que os </w:t>
      </w:r>
      <w:proofErr w:type="gramStart"/>
      <w:r>
        <w:t xml:space="preserve">herdeiros </w:t>
      </w:r>
      <w:r w:rsidR="00D55157">
        <w:rPr>
          <w:b/>
        </w:rPr>
        <w:t>...</w:t>
      </w:r>
      <w:proofErr w:type="gramEnd"/>
      <w:r w:rsidR="00D55157">
        <w:rPr>
          <w:b/>
        </w:rPr>
        <w:t xml:space="preserve"> </w:t>
      </w:r>
      <w:proofErr w:type="gramStart"/>
      <w:r>
        <w:t>e</w:t>
      </w:r>
      <w:proofErr w:type="gramEnd"/>
      <w:r>
        <w:t xml:space="preserve"> </w:t>
      </w:r>
      <w:r w:rsidR="00D55157">
        <w:rPr>
          <w:b/>
        </w:rPr>
        <w:t>...</w:t>
      </w:r>
      <w:r>
        <w:t xml:space="preserve">abdicaram do seu direito em favor dos autores, enquanto os herdeiros de </w:t>
      </w:r>
      <w:r w:rsidR="00D55157">
        <w:rPr>
          <w:b/>
        </w:rPr>
        <w:t xml:space="preserve">... </w:t>
      </w:r>
      <w:proofErr w:type="gramStart"/>
      <w:r>
        <w:t>encontram</w:t>
      </w:r>
      <w:proofErr w:type="gramEnd"/>
      <w:r>
        <w:t xml:space="preserve">-se em lugar incerto e não sabido.   </w:t>
      </w:r>
    </w:p>
    <w:p w:rsidR="004B5D21" w:rsidRDefault="004B5D21" w:rsidP="00EA3D43">
      <w:pPr>
        <w:pStyle w:val="01TextoRT"/>
      </w:pPr>
      <w:r>
        <w:t xml:space="preserve">Sendo assim, como os autores não obtiveram êxito em promover a transferência do jazigo na via administrativa, ajuizaram a presente ação, a fim de garantir o </w:t>
      </w:r>
      <w:r>
        <w:rPr>
          <w:i/>
        </w:rPr>
        <w:t xml:space="preserve">jus </w:t>
      </w:r>
      <w:proofErr w:type="spellStart"/>
      <w:r>
        <w:rPr>
          <w:i/>
        </w:rPr>
        <w:t>a</w:t>
      </w:r>
      <w:r w:rsidR="00383D61" w:rsidRPr="00383D61">
        <w:rPr>
          <w:i/>
        </w:rPr>
        <w:t>epulchri</w:t>
      </w:r>
      <w:proofErr w:type="spellEnd"/>
      <w:r>
        <w:t xml:space="preserve">. </w:t>
      </w:r>
    </w:p>
    <w:p w:rsidR="00502584" w:rsidRDefault="00502584" w:rsidP="00EA3D43">
      <w:pPr>
        <w:pStyle w:val="01TextoRT"/>
      </w:pPr>
      <w:r>
        <w:t xml:space="preserve">Certidão de óbito </w:t>
      </w:r>
      <w:proofErr w:type="gramStart"/>
      <w:r>
        <w:t xml:space="preserve">de </w:t>
      </w:r>
      <w:r w:rsidR="00D55157">
        <w:rPr>
          <w:b/>
        </w:rPr>
        <w:t>...</w:t>
      </w:r>
      <w:proofErr w:type="gramEnd"/>
      <w:r w:rsidR="00D55157">
        <w:t xml:space="preserve"> </w:t>
      </w:r>
      <w:r>
        <w:t xml:space="preserve">(fls. 23). </w:t>
      </w:r>
    </w:p>
    <w:p w:rsidR="00502584" w:rsidRDefault="00502584" w:rsidP="00EA3D43">
      <w:pPr>
        <w:pStyle w:val="01TextoRT"/>
      </w:pPr>
      <w:r>
        <w:t xml:space="preserve">Termo de cessão de uso do solo </w:t>
      </w:r>
      <w:proofErr w:type="gramStart"/>
      <w:r>
        <w:t xml:space="preserve">para </w:t>
      </w:r>
      <w:r w:rsidR="00D55157">
        <w:rPr>
          <w:b/>
        </w:rPr>
        <w:t>...</w:t>
      </w:r>
      <w:proofErr w:type="gramEnd"/>
      <w:r w:rsidR="00D55157" w:rsidRPr="00502584">
        <w:t xml:space="preserve"> </w:t>
      </w:r>
      <w:r w:rsidRPr="00502584">
        <w:t>(fls. 24).</w:t>
      </w:r>
    </w:p>
    <w:p w:rsidR="00502584" w:rsidRDefault="00502584" w:rsidP="00EA3D43">
      <w:pPr>
        <w:pStyle w:val="01TextoRT"/>
      </w:pPr>
      <w:r>
        <w:rPr>
          <w:b/>
        </w:rPr>
        <w:t xml:space="preserve"> </w:t>
      </w:r>
    </w:p>
    <w:p w:rsidR="00383D61" w:rsidRPr="00383D61" w:rsidRDefault="00383D61" w:rsidP="00EA3D43">
      <w:pPr>
        <w:pStyle w:val="01TextoRT"/>
      </w:pPr>
      <w:r w:rsidRPr="00383D61">
        <w:t xml:space="preserve">O Município de Belém, em contestação, alega a prescrição do direito de ação dos autores. Tendo em vista que a titular da Cessão de Uso faleceu </w:t>
      </w:r>
      <w:proofErr w:type="gramStart"/>
      <w:r w:rsidRPr="00383D61">
        <w:t xml:space="preserve">em </w:t>
      </w:r>
      <w:r w:rsidR="00D55157">
        <w:rPr>
          <w:b/>
        </w:rPr>
        <w:t>...</w:t>
      </w:r>
      <w:proofErr w:type="gramEnd"/>
      <w:r w:rsidRPr="00383D61">
        <w:t xml:space="preserve">, enquanto que somente em </w:t>
      </w:r>
      <w:r w:rsidR="00D55157">
        <w:rPr>
          <w:b/>
        </w:rPr>
        <w:t xml:space="preserve">... </w:t>
      </w:r>
      <w:proofErr w:type="gramStart"/>
      <w:r w:rsidRPr="00383D61">
        <w:t>os</w:t>
      </w:r>
      <w:proofErr w:type="gramEnd"/>
      <w:r w:rsidRPr="00383D61">
        <w:t xml:space="preserve"> autores vieram a ajuizar a presente demanda judicial. Além de aduzir a tese de que a sucessão da titularidade só pode acontecer através do inventário ou arrolamento de bens.</w:t>
      </w:r>
    </w:p>
    <w:p w:rsidR="00383D61" w:rsidRPr="00383D61" w:rsidRDefault="00383D61" w:rsidP="00EA3D43">
      <w:pPr>
        <w:pStyle w:val="01TextoRT"/>
      </w:pPr>
      <w:r w:rsidRPr="00383D61">
        <w:t>O pedido de tutela antecipada foi indeferido (fls. 52);</w:t>
      </w:r>
    </w:p>
    <w:p w:rsidR="00383D61" w:rsidRPr="00383D61" w:rsidRDefault="00383D61" w:rsidP="00EA3D43">
      <w:pPr>
        <w:pStyle w:val="01TextoRT"/>
      </w:pPr>
      <w:r w:rsidRPr="00383D61">
        <w:t>Os autores ofereceram a réplica (fls. 69) e as alegações finais (fls. 77);</w:t>
      </w:r>
    </w:p>
    <w:p w:rsidR="00383D61" w:rsidRPr="00383D61" w:rsidRDefault="00383D61" w:rsidP="00EA3D43">
      <w:pPr>
        <w:pStyle w:val="01TextoRT"/>
      </w:pPr>
      <w:r w:rsidRPr="00383D61">
        <w:t>A Prefeitura protocolou memoriais finais às fls. 85</w:t>
      </w:r>
    </w:p>
    <w:p w:rsidR="00383D61" w:rsidRPr="00383D61" w:rsidRDefault="00383D61" w:rsidP="00EA3D43">
      <w:pPr>
        <w:pStyle w:val="01TextoRT"/>
      </w:pPr>
      <w:r w:rsidRPr="00383D61">
        <w:t>O espólio e herdeiros de Severino Silva não apresentou contestação, conforme fls. 100</w:t>
      </w:r>
    </w:p>
    <w:p w:rsidR="00383D61" w:rsidRPr="00383D61" w:rsidRDefault="00383D61" w:rsidP="00EA3D43">
      <w:pPr>
        <w:pStyle w:val="01TextoRT"/>
      </w:pPr>
      <w:r w:rsidRPr="00383D61">
        <w:t xml:space="preserve">Vieram os autos para apreciação.  </w:t>
      </w:r>
    </w:p>
    <w:p w:rsidR="00383D61" w:rsidRPr="00383D61" w:rsidRDefault="00383D61" w:rsidP="00EA3D43">
      <w:pPr>
        <w:pStyle w:val="01TextoRT"/>
      </w:pPr>
      <w:r w:rsidRPr="00383D61">
        <w:t xml:space="preserve">É o relatório. </w:t>
      </w:r>
    </w:p>
    <w:p w:rsidR="00383D61" w:rsidRPr="00383D61" w:rsidRDefault="00383D61" w:rsidP="00EA3D43">
      <w:pPr>
        <w:pStyle w:val="01TextoRT"/>
      </w:pPr>
      <w:r w:rsidRPr="00383D61">
        <w:lastRenderedPageBreak/>
        <w:t xml:space="preserve">Após análise dos autos, verifiquei que consta documentação a atestar que a </w:t>
      </w:r>
      <w:proofErr w:type="gramStart"/>
      <w:r w:rsidRPr="00383D61">
        <w:t>Sra.</w:t>
      </w:r>
      <w:proofErr w:type="gramEnd"/>
      <w:r w:rsidRPr="00383D61">
        <w:t xml:space="preserve"> </w:t>
      </w:r>
      <w:r w:rsidR="00D55157">
        <w:rPr>
          <w:b/>
        </w:rPr>
        <w:t>...</w:t>
      </w:r>
      <w:r w:rsidRPr="00383D61">
        <w:t xml:space="preserve"> é titular das sepulturas objeto da controvérsia que opõe os autores contra a Fazenda Pública.   </w:t>
      </w:r>
    </w:p>
    <w:p w:rsidR="00383D61" w:rsidRPr="00383D61" w:rsidRDefault="00383D61" w:rsidP="00EA3D43">
      <w:pPr>
        <w:pStyle w:val="01TextoRT"/>
        <w:rPr>
          <w:color w:val="auto"/>
        </w:rPr>
      </w:pPr>
      <w:r w:rsidRPr="00383D61">
        <w:t xml:space="preserve">Segundo a certidão de óbito de fls. 23, a </w:t>
      </w:r>
      <w:proofErr w:type="gramStart"/>
      <w:r w:rsidRPr="00383D61">
        <w:t>Sra.</w:t>
      </w:r>
      <w:proofErr w:type="gramEnd"/>
      <w:r w:rsidRPr="00383D61">
        <w:t xml:space="preserve"> </w:t>
      </w:r>
      <w:r w:rsidR="00D55157">
        <w:rPr>
          <w:b/>
        </w:rPr>
        <w:t xml:space="preserve">... </w:t>
      </w:r>
      <w:proofErr w:type="gramStart"/>
      <w:r w:rsidRPr="00383D61">
        <w:t>deixou</w:t>
      </w:r>
      <w:proofErr w:type="gramEnd"/>
      <w:r w:rsidRPr="00383D61">
        <w:t xml:space="preserve"> como herdeiros os filhos </w:t>
      </w:r>
      <w:r w:rsidR="00D55157">
        <w:rPr>
          <w:b/>
        </w:rPr>
        <w:t>...</w:t>
      </w:r>
      <w:r w:rsidRPr="00383D61">
        <w:t xml:space="preserve">, bem como a viúva </w:t>
      </w:r>
      <w:r w:rsidR="00D55157">
        <w:rPr>
          <w:b/>
        </w:rPr>
        <w:t>...</w:t>
      </w:r>
      <w:r w:rsidRPr="00383D61">
        <w:t xml:space="preserve">.   </w:t>
      </w:r>
    </w:p>
    <w:p w:rsidR="00383D61" w:rsidRPr="00383D61" w:rsidRDefault="00383D61" w:rsidP="00383D61">
      <w:pPr>
        <w:spacing w:line="360" w:lineRule="auto"/>
        <w:ind w:firstLine="708"/>
        <w:jc w:val="both"/>
        <w:rPr>
          <w:rFonts w:ascii="Garamond" w:hAnsi="Garamond" w:cs="Tahoma"/>
          <w:sz w:val="24"/>
          <w:szCs w:val="24"/>
        </w:rPr>
      </w:pPr>
      <w:r w:rsidRPr="00383D61">
        <w:rPr>
          <w:rFonts w:ascii="Garamond" w:hAnsi="Garamond" w:cs="Tahoma"/>
          <w:sz w:val="24"/>
          <w:szCs w:val="24"/>
        </w:rPr>
        <w:t xml:space="preserve">Ainda é possível observar que nas sepulturas objeto do litígio, que são aquelas com concessão de uso </w:t>
      </w:r>
      <w:proofErr w:type="gramStart"/>
      <w:r w:rsidRPr="00383D61">
        <w:rPr>
          <w:rFonts w:ascii="Garamond" w:hAnsi="Garamond" w:cs="Tahoma"/>
          <w:sz w:val="24"/>
          <w:szCs w:val="24"/>
        </w:rPr>
        <w:t xml:space="preserve">para </w:t>
      </w:r>
      <w:r w:rsidR="00D55157">
        <w:rPr>
          <w:b/>
        </w:rPr>
        <w:t>...</w:t>
      </w:r>
      <w:proofErr w:type="gramEnd"/>
      <w:r w:rsidRPr="00383D61">
        <w:rPr>
          <w:rFonts w:ascii="Garamond" w:hAnsi="Garamond" w:cs="Tahoma"/>
          <w:sz w:val="24"/>
          <w:szCs w:val="24"/>
        </w:rPr>
        <w:t xml:space="preserve">, já estão enterradas pelo menos duas pessoas: </w:t>
      </w:r>
      <w:r w:rsidR="00D55157">
        <w:rPr>
          <w:b/>
        </w:rPr>
        <w:t xml:space="preserve">... </w:t>
      </w:r>
      <w:proofErr w:type="gramStart"/>
      <w:r w:rsidRPr="00383D61">
        <w:rPr>
          <w:rFonts w:ascii="Garamond" w:hAnsi="Garamond" w:cs="Tahoma"/>
          <w:sz w:val="24"/>
          <w:szCs w:val="24"/>
        </w:rPr>
        <w:t>e</w:t>
      </w:r>
      <w:proofErr w:type="gramEnd"/>
      <w:r w:rsidRPr="00383D61">
        <w:rPr>
          <w:rFonts w:ascii="Garamond" w:hAnsi="Garamond" w:cs="Tahoma"/>
          <w:sz w:val="24"/>
          <w:szCs w:val="24"/>
        </w:rPr>
        <w:t xml:space="preserve"> </w:t>
      </w:r>
      <w:r w:rsidR="00D55157">
        <w:rPr>
          <w:b/>
        </w:rPr>
        <w:t>...</w:t>
      </w:r>
      <w:r w:rsidRPr="00383D61">
        <w:rPr>
          <w:rFonts w:ascii="Garamond" w:hAnsi="Garamond" w:cs="Tahoma"/>
          <w:sz w:val="24"/>
          <w:szCs w:val="24"/>
        </w:rPr>
        <w:t xml:space="preserve"> (respectivamente, cópia do termo de concessão de uso de fls. 24 e 25).     </w:t>
      </w:r>
    </w:p>
    <w:p w:rsidR="00383D61" w:rsidRPr="00383D61" w:rsidRDefault="00383D61" w:rsidP="00383D61">
      <w:pPr>
        <w:spacing w:line="360" w:lineRule="auto"/>
        <w:ind w:firstLine="708"/>
        <w:jc w:val="both"/>
        <w:rPr>
          <w:rFonts w:ascii="Garamond" w:hAnsi="Garamond" w:cs="Tahoma"/>
          <w:sz w:val="24"/>
          <w:szCs w:val="24"/>
        </w:rPr>
      </w:pPr>
      <w:r w:rsidRPr="00383D61">
        <w:rPr>
          <w:rFonts w:ascii="Garamond" w:hAnsi="Garamond" w:cs="Tahoma"/>
          <w:sz w:val="24"/>
          <w:szCs w:val="24"/>
        </w:rPr>
        <w:t>Tais elementos devem ser analisados à luz do art. 167 da Lei 7.055/77 (Código de Posturas do Município de Belém), o qual recentemente foi alterado pela Lei 8.949/12:</w:t>
      </w:r>
    </w:p>
    <w:p w:rsidR="00383D61" w:rsidRPr="00383D61" w:rsidRDefault="00383D61" w:rsidP="00383D61">
      <w:pPr>
        <w:spacing w:after="0" w:line="240" w:lineRule="auto"/>
        <w:ind w:left="2268"/>
        <w:jc w:val="both"/>
        <w:rPr>
          <w:rFonts w:ascii="Garamond" w:hAnsi="Garamond" w:cs="Tahoma"/>
          <w:sz w:val="24"/>
          <w:szCs w:val="24"/>
        </w:rPr>
      </w:pPr>
      <w:r w:rsidRPr="00383D61">
        <w:rPr>
          <w:rFonts w:ascii="Garamond" w:hAnsi="Garamond" w:cs="Tahoma"/>
          <w:sz w:val="24"/>
          <w:szCs w:val="24"/>
        </w:rPr>
        <w:t xml:space="preserve">Art. 167. Nenhum concessionário de sepultura ou </w:t>
      </w:r>
      <w:proofErr w:type="spellStart"/>
      <w:r w:rsidRPr="00383D61">
        <w:rPr>
          <w:rFonts w:ascii="Garamond" w:hAnsi="Garamond" w:cs="Tahoma"/>
          <w:sz w:val="24"/>
          <w:szCs w:val="24"/>
        </w:rPr>
        <w:t>mausoléo</w:t>
      </w:r>
      <w:proofErr w:type="spellEnd"/>
      <w:r w:rsidRPr="00383D61">
        <w:rPr>
          <w:rFonts w:ascii="Garamond" w:hAnsi="Garamond" w:cs="Tahoma"/>
          <w:sz w:val="24"/>
          <w:szCs w:val="24"/>
        </w:rPr>
        <w:t xml:space="preserve"> poderá negociar sua concessão, seja a que título. </w:t>
      </w:r>
    </w:p>
    <w:p w:rsidR="00383D61" w:rsidRPr="00383D61" w:rsidRDefault="00383D61" w:rsidP="00383D61">
      <w:pPr>
        <w:spacing w:after="0" w:line="240" w:lineRule="auto"/>
        <w:ind w:left="2268"/>
        <w:jc w:val="both"/>
        <w:rPr>
          <w:rFonts w:ascii="Garamond" w:hAnsi="Garamond" w:cs="Tahoma"/>
          <w:sz w:val="24"/>
          <w:szCs w:val="24"/>
        </w:rPr>
      </w:pPr>
      <w:r w:rsidRPr="00383D61">
        <w:rPr>
          <w:rFonts w:ascii="Garamond" w:hAnsi="Garamond" w:cs="Tahoma"/>
          <w:sz w:val="24"/>
          <w:szCs w:val="24"/>
        </w:rPr>
        <w:t xml:space="preserve">§ 1º O Município transferirá a concessão da sepultura para aqueles que a tiverem negociado diretamente com os concessionários ou com seus sucessores até a data da publicação desta Lei, desde que tenham a posse da sepultura ou tenham realizado sepultamentos de parentes ou pessoas indicadas no local. </w:t>
      </w:r>
    </w:p>
    <w:p w:rsidR="00383D61" w:rsidRPr="00383D61" w:rsidRDefault="00383D61" w:rsidP="00383D61">
      <w:pPr>
        <w:spacing w:after="0" w:line="240" w:lineRule="auto"/>
        <w:ind w:left="2268"/>
        <w:jc w:val="both"/>
        <w:rPr>
          <w:rFonts w:ascii="Garamond" w:hAnsi="Garamond" w:cs="Tahoma"/>
          <w:sz w:val="24"/>
          <w:szCs w:val="24"/>
        </w:rPr>
      </w:pPr>
      <w:r w:rsidRPr="00383D61">
        <w:rPr>
          <w:rFonts w:ascii="Garamond" w:hAnsi="Garamond" w:cs="Tahoma"/>
          <w:sz w:val="24"/>
          <w:szCs w:val="24"/>
        </w:rPr>
        <w:t xml:space="preserve">§ 2º Prova-se a negociação da sepultura, para efeitos do parágrafo anterior, por meio de procuração, contrato, recibo ou qualquer outro meio idôneo. </w:t>
      </w:r>
    </w:p>
    <w:p w:rsidR="00383D61" w:rsidRPr="00383D61" w:rsidRDefault="00383D61" w:rsidP="00383D61">
      <w:pPr>
        <w:spacing w:after="0" w:line="240" w:lineRule="auto"/>
        <w:ind w:left="2268"/>
        <w:jc w:val="both"/>
        <w:rPr>
          <w:rFonts w:ascii="Garamond" w:hAnsi="Garamond" w:cs="Tahoma"/>
          <w:sz w:val="24"/>
          <w:szCs w:val="24"/>
        </w:rPr>
      </w:pPr>
      <w:r w:rsidRPr="00383D61">
        <w:rPr>
          <w:rFonts w:ascii="Garamond" w:hAnsi="Garamond" w:cs="Tahoma"/>
          <w:sz w:val="24"/>
          <w:szCs w:val="24"/>
        </w:rPr>
        <w:t xml:space="preserve">§ 3º Prova-se a posse da sepultura, para efeitos do parágrafo primeiro, pelo sepultamento de parente </w:t>
      </w:r>
      <w:proofErr w:type="spellStart"/>
      <w:r w:rsidRPr="00383D61">
        <w:rPr>
          <w:rFonts w:ascii="Garamond" w:hAnsi="Garamond" w:cs="Tahoma"/>
          <w:sz w:val="24"/>
          <w:szCs w:val="24"/>
        </w:rPr>
        <w:t>consangüíneo</w:t>
      </w:r>
      <w:proofErr w:type="spellEnd"/>
      <w:r w:rsidRPr="00383D61">
        <w:rPr>
          <w:rFonts w:ascii="Garamond" w:hAnsi="Garamond" w:cs="Tahoma"/>
          <w:sz w:val="24"/>
          <w:szCs w:val="24"/>
        </w:rPr>
        <w:t xml:space="preserve"> ou afim na sepultura, pelo pagamento de taxas à Municipalidade ou pela realização de atos com a anuência da Administração dos Cemitérios.</w:t>
      </w:r>
    </w:p>
    <w:p w:rsidR="00383D61" w:rsidRPr="00383D61" w:rsidRDefault="00383D61" w:rsidP="00383D61">
      <w:pPr>
        <w:spacing w:after="0" w:line="240" w:lineRule="auto"/>
        <w:ind w:left="2268" w:firstLine="709"/>
        <w:jc w:val="both"/>
        <w:rPr>
          <w:rFonts w:ascii="Garamond" w:hAnsi="Garamond" w:cs="Tahoma"/>
          <w:sz w:val="24"/>
          <w:szCs w:val="24"/>
        </w:rPr>
      </w:pPr>
    </w:p>
    <w:p w:rsidR="00383D61" w:rsidRPr="00383D61" w:rsidRDefault="00383D61" w:rsidP="00383D61">
      <w:pPr>
        <w:pStyle w:val="Recuodecorpodetexto"/>
        <w:spacing w:after="200"/>
        <w:ind w:firstLine="0"/>
        <w:rPr>
          <w:rFonts w:ascii="Garamond" w:hAnsi="Garamond" w:cs="Tahoma"/>
          <w:lang w:val="pt-BR"/>
        </w:rPr>
      </w:pPr>
      <w:r w:rsidRPr="00383D61">
        <w:rPr>
          <w:rFonts w:ascii="Garamond" w:eastAsia="Calibri" w:hAnsi="Garamond" w:cs="Tahoma"/>
          <w:lang w:val="pt-BR" w:eastAsia="en-US"/>
        </w:rPr>
        <w:t xml:space="preserve">             </w:t>
      </w:r>
      <w:r w:rsidRPr="00383D61">
        <w:rPr>
          <w:rFonts w:ascii="Garamond" w:hAnsi="Garamond" w:cs="Tahoma"/>
        </w:rPr>
        <w:t xml:space="preserve">Nesse caso, entendo que a resistência do Poder Público </w:t>
      </w:r>
      <w:r w:rsidRPr="00383D61">
        <w:rPr>
          <w:rFonts w:ascii="Garamond" w:hAnsi="Garamond" w:cs="Tahoma"/>
          <w:lang w:val="pt-BR"/>
        </w:rPr>
        <w:t xml:space="preserve">em </w:t>
      </w:r>
      <w:r w:rsidRPr="00383D61">
        <w:rPr>
          <w:rFonts w:ascii="Garamond" w:hAnsi="Garamond" w:cs="Tahoma"/>
        </w:rPr>
        <w:t>promover a transferência das sepulturas aos autores não se justifica. Com efeito, o legislador munícipe</w:t>
      </w:r>
      <w:r w:rsidRPr="00383D61">
        <w:rPr>
          <w:rFonts w:ascii="Garamond" w:hAnsi="Garamond" w:cs="Tahoma"/>
          <w:lang w:val="pt-BR"/>
        </w:rPr>
        <w:t xml:space="preserve">, ao alterar o Código de Posturas do Município de Belém, buscou facilitar a transferência de titularidade de sepulturas, tanto que inseriu os §§ 1º, 2º e 3º no art. 167, a fim de estabelecer exceções à regra que proibia terminantemente a negociação de sepultura. Com isso, buscou evitar imbróglios jurídicos decorrentes da necessidade de a Administração Pública proceder à atualização dos titulares dos jazigos. </w:t>
      </w:r>
    </w:p>
    <w:p w:rsidR="00383D61" w:rsidRPr="00383D61" w:rsidRDefault="00383D61" w:rsidP="00383D61">
      <w:pPr>
        <w:spacing w:line="360" w:lineRule="auto"/>
        <w:jc w:val="both"/>
        <w:rPr>
          <w:rFonts w:ascii="Garamond" w:eastAsia="Times New Roman" w:hAnsi="Garamond" w:cs="Tahoma"/>
          <w:sz w:val="24"/>
          <w:szCs w:val="24"/>
          <w:lang w:eastAsia="pt-BR"/>
        </w:rPr>
      </w:pPr>
      <w:r w:rsidRPr="00383D61">
        <w:rPr>
          <w:rFonts w:ascii="Garamond" w:eastAsia="Times New Roman" w:hAnsi="Garamond" w:cs="Tahoma"/>
          <w:sz w:val="24"/>
          <w:szCs w:val="24"/>
          <w:lang w:eastAsia="pt-BR"/>
        </w:rPr>
        <w:t xml:space="preserve">            Há provas documentais do sepultamento de parentes do </w:t>
      </w:r>
      <w:proofErr w:type="gramStart"/>
      <w:r w:rsidRPr="00383D61">
        <w:rPr>
          <w:rFonts w:ascii="Garamond" w:eastAsia="Times New Roman" w:hAnsi="Garamond" w:cs="Tahoma"/>
          <w:sz w:val="24"/>
          <w:szCs w:val="24"/>
          <w:lang w:eastAsia="pt-BR"/>
        </w:rPr>
        <w:t>Sr.</w:t>
      </w:r>
      <w:proofErr w:type="gramEnd"/>
      <w:r w:rsidRPr="00383D61">
        <w:rPr>
          <w:rFonts w:ascii="Garamond" w:eastAsia="Times New Roman" w:hAnsi="Garamond" w:cs="Tahoma"/>
          <w:sz w:val="24"/>
          <w:szCs w:val="24"/>
          <w:lang w:eastAsia="pt-BR"/>
        </w:rPr>
        <w:t xml:space="preserve"> </w:t>
      </w:r>
      <w:r w:rsidR="00D55157">
        <w:rPr>
          <w:b/>
        </w:rPr>
        <w:t>...</w:t>
      </w:r>
      <w:r w:rsidRPr="00383D61">
        <w:rPr>
          <w:rFonts w:ascii="Garamond" w:eastAsia="Times New Roman" w:hAnsi="Garamond" w:cs="Tahoma"/>
          <w:sz w:val="24"/>
          <w:szCs w:val="24"/>
          <w:lang w:eastAsia="pt-BR"/>
        </w:rPr>
        <w:t xml:space="preserve">, a exemplo de seu neto, </w:t>
      </w:r>
      <w:r w:rsidR="00D55157">
        <w:rPr>
          <w:b/>
        </w:rPr>
        <w:t>...</w:t>
      </w:r>
      <w:r w:rsidR="00D55157" w:rsidRPr="00383D61">
        <w:rPr>
          <w:rFonts w:ascii="Garamond" w:eastAsia="Times New Roman" w:hAnsi="Garamond" w:cs="Tahoma"/>
          <w:sz w:val="24"/>
          <w:szCs w:val="24"/>
          <w:lang w:eastAsia="pt-BR"/>
        </w:rPr>
        <w:t xml:space="preserve"> </w:t>
      </w:r>
      <w:r w:rsidRPr="00383D61">
        <w:rPr>
          <w:rFonts w:ascii="Garamond" w:eastAsia="Times New Roman" w:hAnsi="Garamond" w:cs="Tahoma"/>
          <w:sz w:val="24"/>
          <w:szCs w:val="24"/>
          <w:lang w:eastAsia="pt-BR"/>
        </w:rPr>
        <w:t xml:space="preserve">(fls. 25), filho </w:t>
      </w:r>
      <w:proofErr w:type="gramStart"/>
      <w:r w:rsidRPr="00383D61">
        <w:rPr>
          <w:rFonts w:ascii="Garamond" w:eastAsia="Times New Roman" w:hAnsi="Garamond" w:cs="Tahoma"/>
          <w:sz w:val="24"/>
          <w:szCs w:val="24"/>
          <w:lang w:eastAsia="pt-BR"/>
        </w:rPr>
        <w:t xml:space="preserve">de </w:t>
      </w:r>
      <w:r w:rsidR="00D55157">
        <w:rPr>
          <w:b/>
        </w:rPr>
        <w:t>...</w:t>
      </w:r>
      <w:proofErr w:type="gramEnd"/>
      <w:r w:rsidRPr="00383D61">
        <w:rPr>
          <w:rFonts w:ascii="Garamond" w:eastAsia="Times New Roman" w:hAnsi="Garamond" w:cs="Tahoma"/>
          <w:sz w:val="24"/>
          <w:szCs w:val="24"/>
          <w:lang w:eastAsia="pt-BR"/>
        </w:rPr>
        <w:t xml:space="preserve">, consoante cópia do termo de concessão de uso. Ora, tal documentação revela que houve a realização de atos com a anuência da Administração dos Cemitérios, o que coaduna com a hipótese inscrita no § 3º do artigo supracitado do Código de Posturas Municipal, a autorizar a regularização da titularidade da sepultura em favor dos autores.     </w:t>
      </w:r>
    </w:p>
    <w:p w:rsidR="00383D61" w:rsidRPr="00383D61" w:rsidRDefault="00383D61" w:rsidP="00383D61">
      <w:pPr>
        <w:pStyle w:val="Recuodecorpodetexto"/>
        <w:spacing w:after="200"/>
        <w:ind w:firstLine="0"/>
        <w:rPr>
          <w:rFonts w:ascii="Garamond" w:eastAsia="Calibri" w:hAnsi="Garamond" w:cs="Tahoma"/>
          <w:lang w:val="pt-BR" w:eastAsia="en-US"/>
        </w:rPr>
      </w:pPr>
      <w:r w:rsidRPr="00383D61">
        <w:rPr>
          <w:rFonts w:ascii="Garamond" w:eastAsia="Calibri" w:hAnsi="Garamond" w:cs="Tahoma"/>
          <w:lang w:val="pt-BR" w:eastAsia="en-US"/>
        </w:rPr>
        <w:lastRenderedPageBreak/>
        <w:t xml:space="preserve">             Diante do exposto, o </w:t>
      </w:r>
      <w:r w:rsidRPr="00383D61">
        <w:rPr>
          <w:rFonts w:ascii="Garamond" w:eastAsia="Calibri" w:hAnsi="Garamond" w:cs="Tahoma"/>
          <w:b/>
          <w:lang w:val="pt-BR" w:eastAsia="en-US"/>
        </w:rPr>
        <w:t>MINISTÉRIO PÚBLICO</w:t>
      </w:r>
      <w:r w:rsidRPr="00383D61">
        <w:rPr>
          <w:rFonts w:ascii="Garamond" w:eastAsia="Calibri" w:hAnsi="Garamond" w:cs="Tahoma"/>
          <w:lang w:val="pt-BR" w:eastAsia="en-US"/>
        </w:rPr>
        <w:t xml:space="preserve">, baseado no art. 167, 3º, da Lei n.º 7.055/77 (Código de Posturas do Município de Belém), manifesta-se pelo </w:t>
      </w:r>
      <w:r w:rsidRPr="00383D61">
        <w:rPr>
          <w:rFonts w:ascii="Garamond" w:eastAsia="Calibri" w:hAnsi="Garamond" w:cs="Tahoma"/>
          <w:b/>
          <w:lang w:val="pt-BR" w:eastAsia="en-US"/>
        </w:rPr>
        <w:t>DEFERIMENTO</w:t>
      </w:r>
      <w:r w:rsidRPr="00383D61">
        <w:rPr>
          <w:rFonts w:ascii="Garamond" w:eastAsia="Calibri" w:hAnsi="Garamond" w:cs="Tahoma"/>
          <w:lang w:val="pt-BR" w:eastAsia="en-US"/>
        </w:rPr>
        <w:t xml:space="preserve"> do pedido, expedindo-se, como corolário, o competente </w:t>
      </w:r>
      <w:r w:rsidRPr="00383D61">
        <w:rPr>
          <w:rFonts w:ascii="Garamond" w:eastAsia="Calibri" w:hAnsi="Garamond" w:cs="Tahoma"/>
          <w:b/>
          <w:lang w:val="pt-BR" w:eastAsia="en-US"/>
        </w:rPr>
        <w:t>ALVARÁ JUDICIAL</w:t>
      </w:r>
      <w:r w:rsidRPr="00383D61">
        <w:rPr>
          <w:rFonts w:ascii="Garamond" w:eastAsia="Calibri" w:hAnsi="Garamond" w:cs="Tahoma"/>
          <w:lang w:val="pt-BR" w:eastAsia="en-US"/>
        </w:rPr>
        <w:t xml:space="preserve">, para transferência da sepultura ora declinada em favor dos autores. </w:t>
      </w:r>
    </w:p>
    <w:p w:rsidR="00383D61" w:rsidRPr="00383D61" w:rsidRDefault="00383D61" w:rsidP="00383D61">
      <w:pPr>
        <w:spacing w:line="360" w:lineRule="auto"/>
        <w:ind w:firstLine="708"/>
        <w:jc w:val="both"/>
        <w:rPr>
          <w:rFonts w:ascii="Garamond" w:eastAsia="Calibri" w:hAnsi="Garamond" w:cs="Tahoma"/>
          <w:sz w:val="24"/>
          <w:szCs w:val="24"/>
        </w:rPr>
      </w:pPr>
      <w:r w:rsidRPr="00383D61">
        <w:rPr>
          <w:rFonts w:ascii="Garamond" w:hAnsi="Garamond" w:cs="Tahoma"/>
          <w:sz w:val="24"/>
          <w:szCs w:val="24"/>
        </w:rPr>
        <w:t xml:space="preserve">   É a manifestação.</w:t>
      </w:r>
    </w:p>
    <w:p w:rsidR="00383D61" w:rsidRPr="00383D61" w:rsidRDefault="00383D61" w:rsidP="00383D61">
      <w:pPr>
        <w:pStyle w:val="Recuodecorpodetexto"/>
        <w:ind w:firstLine="0"/>
        <w:jc w:val="right"/>
        <w:rPr>
          <w:rFonts w:ascii="Garamond" w:hAnsi="Garamond" w:cs="Tahoma"/>
        </w:rPr>
      </w:pPr>
      <w:r w:rsidRPr="00383D61">
        <w:rPr>
          <w:rFonts w:ascii="Garamond" w:hAnsi="Garamond" w:cs="Tahoma"/>
        </w:rPr>
        <w:t xml:space="preserve">Belém (PA), </w:t>
      </w:r>
      <w:r>
        <w:rPr>
          <w:rFonts w:ascii="Garamond" w:hAnsi="Garamond" w:cs="Tahoma"/>
          <w:lang w:val="pt-BR"/>
        </w:rPr>
        <w:t xml:space="preserve">09 </w:t>
      </w:r>
      <w:r w:rsidRPr="00383D61">
        <w:rPr>
          <w:rFonts w:ascii="Garamond" w:hAnsi="Garamond" w:cs="Tahoma"/>
        </w:rPr>
        <w:t>de outubro</w:t>
      </w:r>
      <w:r w:rsidRPr="00383D61">
        <w:rPr>
          <w:rFonts w:ascii="Garamond" w:hAnsi="Garamond" w:cs="Tahoma"/>
          <w:lang w:val="pt-BR"/>
        </w:rPr>
        <w:t xml:space="preserve"> de</w:t>
      </w:r>
      <w:r w:rsidRPr="00383D61">
        <w:rPr>
          <w:rFonts w:ascii="Garamond" w:hAnsi="Garamond" w:cs="Tahoma"/>
        </w:rPr>
        <w:t xml:space="preserve"> 201</w:t>
      </w:r>
      <w:r w:rsidRPr="00383D61">
        <w:rPr>
          <w:rFonts w:ascii="Garamond" w:hAnsi="Garamond" w:cs="Tahoma"/>
          <w:lang w:val="pt-BR"/>
        </w:rPr>
        <w:t>8</w:t>
      </w:r>
      <w:r w:rsidRPr="00383D61">
        <w:rPr>
          <w:rFonts w:ascii="Garamond" w:hAnsi="Garamond" w:cs="Tahoma"/>
        </w:rPr>
        <w:t>.</w:t>
      </w:r>
    </w:p>
    <w:p w:rsidR="00383D61" w:rsidRPr="00383D61" w:rsidRDefault="00383D61" w:rsidP="00383D61">
      <w:pPr>
        <w:ind w:right="678"/>
        <w:rPr>
          <w:rFonts w:ascii="Garamond" w:hAnsi="Garamond" w:cs="Tahoma"/>
          <w:b/>
          <w:sz w:val="24"/>
          <w:szCs w:val="24"/>
        </w:rPr>
      </w:pPr>
    </w:p>
    <w:p w:rsidR="00383D61" w:rsidRPr="00383D61" w:rsidRDefault="00383D61" w:rsidP="00383D61">
      <w:pPr>
        <w:spacing w:after="0"/>
        <w:ind w:right="680"/>
        <w:jc w:val="center"/>
        <w:rPr>
          <w:rFonts w:ascii="Garamond" w:hAnsi="Garamond" w:cs="Tahoma"/>
          <w:b/>
          <w:sz w:val="24"/>
          <w:szCs w:val="24"/>
        </w:rPr>
      </w:pPr>
      <w:r w:rsidRPr="00383D61">
        <w:rPr>
          <w:rFonts w:ascii="Garamond" w:hAnsi="Garamond" w:cs="Tahoma"/>
          <w:b/>
          <w:sz w:val="24"/>
          <w:szCs w:val="24"/>
        </w:rPr>
        <w:t>JOÃO GUALBERTO DOS SANTOS SILVA</w:t>
      </w:r>
    </w:p>
    <w:p w:rsidR="00383D61" w:rsidRPr="00383D61" w:rsidRDefault="00383D61" w:rsidP="00383D61">
      <w:pPr>
        <w:spacing w:after="0"/>
        <w:ind w:right="680"/>
        <w:jc w:val="center"/>
        <w:rPr>
          <w:rFonts w:ascii="Garamond" w:hAnsi="Garamond" w:cs="Tahoma"/>
          <w:b/>
          <w:sz w:val="24"/>
          <w:szCs w:val="24"/>
        </w:rPr>
      </w:pPr>
      <w:r w:rsidRPr="00383D61">
        <w:rPr>
          <w:rFonts w:ascii="Garamond" w:hAnsi="Garamond" w:cs="Tahoma"/>
          <w:sz w:val="24"/>
          <w:szCs w:val="24"/>
        </w:rPr>
        <w:t xml:space="preserve">1º </w:t>
      </w:r>
      <w:r w:rsidRPr="00383D61">
        <w:rPr>
          <w:rFonts w:ascii="Garamond" w:hAnsi="Garamond" w:cs="Tahoma"/>
          <w:b/>
          <w:sz w:val="24"/>
          <w:szCs w:val="24"/>
        </w:rPr>
        <w:t xml:space="preserve">PROMOTOR DE JUSTIÇA </w:t>
      </w:r>
      <w:r>
        <w:rPr>
          <w:rFonts w:ascii="Garamond" w:hAnsi="Garamond" w:cs="Tahoma"/>
          <w:b/>
          <w:sz w:val="24"/>
          <w:szCs w:val="24"/>
        </w:rPr>
        <w:t xml:space="preserve">DE </w:t>
      </w:r>
      <w:r w:rsidRPr="00383D61">
        <w:rPr>
          <w:rFonts w:ascii="Garamond" w:hAnsi="Garamond" w:cs="Tahoma"/>
          <w:b/>
          <w:sz w:val="24"/>
          <w:szCs w:val="24"/>
        </w:rPr>
        <w:t>REGISTROS PÚBLICOS</w:t>
      </w:r>
      <w:r>
        <w:rPr>
          <w:rFonts w:ascii="Garamond" w:hAnsi="Garamond" w:cs="Tahoma"/>
          <w:b/>
          <w:sz w:val="24"/>
          <w:szCs w:val="24"/>
        </w:rPr>
        <w:t xml:space="preserve"> DE BELÉM</w:t>
      </w:r>
    </w:p>
    <w:p w:rsidR="00A14A31" w:rsidRPr="00383D61" w:rsidRDefault="00A14A31" w:rsidP="00383D61">
      <w:pPr>
        <w:rPr>
          <w:rFonts w:ascii="Garamond" w:hAnsi="Garamond" w:cs="Tahoma"/>
        </w:rPr>
      </w:pPr>
    </w:p>
    <w:sectPr w:rsidR="00A14A31" w:rsidRPr="00383D61" w:rsidSect="00957AFD">
      <w:headerReference w:type="default" r:id="rId8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68" w:rsidRDefault="00726468" w:rsidP="00052B2B">
      <w:pPr>
        <w:spacing w:after="0" w:line="240" w:lineRule="auto"/>
      </w:pPr>
      <w:r>
        <w:separator/>
      </w:r>
    </w:p>
  </w:endnote>
  <w:endnote w:type="continuationSeparator" w:id="0">
    <w:p w:rsidR="00726468" w:rsidRDefault="00726468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68" w:rsidRDefault="00726468" w:rsidP="00052B2B">
      <w:pPr>
        <w:spacing w:after="0" w:line="240" w:lineRule="auto"/>
      </w:pPr>
      <w:r>
        <w:separator/>
      </w:r>
    </w:p>
  </w:footnote>
  <w:footnote w:type="continuationSeparator" w:id="0">
    <w:p w:rsidR="00726468" w:rsidRDefault="00726468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23779D" w:rsidP="002377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6093A"/>
    <w:rsid w:val="000D3CB9"/>
    <w:rsid w:val="000D5BDE"/>
    <w:rsid w:val="000E1194"/>
    <w:rsid w:val="000F1581"/>
    <w:rsid w:val="00114DFA"/>
    <w:rsid w:val="00124A4A"/>
    <w:rsid w:val="001655E6"/>
    <w:rsid w:val="0018655B"/>
    <w:rsid w:val="0023779D"/>
    <w:rsid w:val="002626C5"/>
    <w:rsid w:val="002923B6"/>
    <w:rsid w:val="00293E78"/>
    <w:rsid w:val="002E647C"/>
    <w:rsid w:val="00383D61"/>
    <w:rsid w:val="004160B7"/>
    <w:rsid w:val="004B5D21"/>
    <w:rsid w:val="00502584"/>
    <w:rsid w:val="00565B7D"/>
    <w:rsid w:val="00585AD3"/>
    <w:rsid w:val="005E3F19"/>
    <w:rsid w:val="005E4090"/>
    <w:rsid w:val="006137B2"/>
    <w:rsid w:val="00686C4E"/>
    <w:rsid w:val="00726468"/>
    <w:rsid w:val="00737D0E"/>
    <w:rsid w:val="0079318A"/>
    <w:rsid w:val="00813A06"/>
    <w:rsid w:val="008E4C37"/>
    <w:rsid w:val="00957AFD"/>
    <w:rsid w:val="00974B96"/>
    <w:rsid w:val="009967FE"/>
    <w:rsid w:val="009A75C2"/>
    <w:rsid w:val="009B2D08"/>
    <w:rsid w:val="00A1232B"/>
    <w:rsid w:val="00A14A31"/>
    <w:rsid w:val="00A3683F"/>
    <w:rsid w:val="00A96048"/>
    <w:rsid w:val="00AD7129"/>
    <w:rsid w:val="00BA20AC"/>
    <w:rsid w:val="00BC10CB"/>
    <w:rsid w:val="00BF3D2B"/>
    <w:rsid w:val="00C17CF8"/>
    <w:rsid w:val="00C4073D"/>
    <w:rsid w:val="00C76175"/>
    <w:rsid w:val="00CB01A0"/>
    <w:rsid w:val="00CC337A"/>
    <w:rsid w:val="00CF7D0B"/>
    <w:rsid w:val="00D32628"/>
    <w:rsid w:val="00D32CEA"/>
    <w:rsid w:val="00D3514C"/>
    <w:rsid w:val="00D53207"/>
    <w:rsid w:val="00D55157"/>
    <w:rsid w:val="00DA1A9E"/>
    <w:rsid w:val="00DB1827"/>
    <w:rsid w:val="00DF7833"/>
    <w:rsid w:val="00E10F97"/>
    <w:rsid w:val="00E14DDA"/>
    <w:rsid w:val="00E240F9"/>
    <w:rsid w:val="00E623D1"/>
    <w:rsid w:val="00E70EC5"/>
    <w:rsid w:val="00E874E8"/>
    <w:rsid w:val="00EA3D43"/>
    <w:rsid w:val="00F456B0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2923B6"/>
    <w:pPr>
      <w:spacing w:after="0" w:line="360" w:lineRule="auto"/>
      <w:ind w:firstLine="709"/>
      <w:jc w:val="both"/>
    </w:pPr>
    <w:rPr>
      <w:rFonts w:ascii="Garamond" w:hAnsi="Garamond"/>
      <w:color w:val="000000" w:themeColor="text1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TextoRT">
    <w:name w:val="Texto RT"/>
    <w:basedOn w:val="Normal"/>
    <w:qFormat/>
    <w:rsid w:val="00E623D1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737D0E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7D0E"/>
    <w:rPr>
      <w:rFonts w:ascii="Arial" w:eastAsia="Times New Roman" w:hAnsi="Arial" w:cs="Times New Roman"/>
      <w:sz w:val="24"/>
      <w:szCs w:val="24"/>
      <w:lang w:val="x-none" w:eastAsia="pt-BR"/>
    </w:rPr>
  </w:style>
  <w:style w:type="paragraph" w:styleId="Ttulo">
    <w:name w:val="Title"/>
    <w:basedOn w:val="Normal"/>
    <w:link w:val="TtuloChar"/>
    <w:qFormat/>
    <w:rsid w:val="00737D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pt-BR"/>
    </w:rPr>
  </w:style>
  <w:style w:type="character" w:customStyle="1" w:styleId="TtuloChar">
    <w:name w:val="Título Char"/>
    <w:basedOn w:val="Fontepargpadro"/>
    <w:link w:val="Ttulo"/>
    <w:rsid w:val="00737D0E"/>
    <w:rPr>
      <w:rFonts w:ascii="Times New Roman" w:eastAsia="Times New Roman" w:hAnsi="Times New Roman" w:cs="Times New Roman"/>
      <w:sz w:val="28"/>
      <w:szCs w:val="24"/>
      <w:u w:val="single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2923B6"/>
    <w:pPr>
      <w:spacing w:after="0" w:line="360" w:lineRule="auto"/>
      <w:ind w:firstLine="709"/>
      <w:jc w:val="both"/>
    </w:pPr>
    <w:rPr>
      <w:rFonts w:ascii="Garamond" w:hAnsi="Garamond"/>
      <w:color w:val="000000" w:themeColor="text1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TextoRT">
    <w:name w:val="Texto RT"/>
    <w:basedOn w:val="Normal"/>
    <w:qFormat/>
    <w:rsid w:val="00E623D1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737D0E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7D0E"/>
    <w:rPr>
      <w:rFonts w:ascii="Arial" w:eastAsia="Times New Roman" w:hAnsi="Arial" w:cs="Times New Roman"/>
      <w:sz w:val="24"/>
      <w:szCs w:val="24"/>
      <w:lang w:val="x-none" w:eastAsia="pt-BR"/>
    </w:rPr>
  </w:style>
  <w:style w:type="paragraph" w:styleId="Ttulo">
    <w:name w:val="Title"/>
    <w:basedOn w:val="Normal"/>
    <w:link w:val="TtuloChar"/>
    <w:qFormat/>
    <w:rsid w:val="00737D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pt-BR"/>
    </w:rPr>
  </w:style>
  <w:style w:type="character" w:customStyle="1" w:styleId="TtuloChar">
    <w:name w:val="Título Char"/>
    <w:basedOn w:val="Fontepargpadro"/>
    <w:link w:val="Ttulo"/>
    <w:rsid w:val="00737D0E"/>
    <w:rPr>
      <w:rFonts w:ascii="Times New Roman" w:eastAsia="Times New Roman" w:hAnsi="Times New Roman" w:cs="Times New Roman"/>
      <w:sz w:val="28"/>
      <w:szCs w:val="24"/>
      <w:u w:val="single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AB8C-D1F3-4B98-B06E-5B7190DA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5</cp:revision>
  <dcterms:created xsi:type="dcterms:W3CDTF">2018-10-09T15:59:00Z</dcterms:created>
  <dcterms:modified xsi:type="dcterms:W3CDTF">2019-07-05T13:17:00Z</dcterms:modified>
</cp:coreProperties>
</file>